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71E4" w14:textId="404872E1" w:rsidR="00714AC8" w:rsidRPr="00714AC8" w:rsidRDefault="00714AC8" w:rsidP="00714AC8">
      <w:pPr>
        <w:jc w:val="center"/>
        <w:rPr>
          <w:rFonts w:ascii="Arial" w:hAnsi="Arial" w:cs="Arial"/>
        </w:rPr>
      </w:pPr>
      <w:r w:rsidRPr="008D2E04">
        <w:rPr>
          <w:rFonts w:ascii="Arial" w:hAnsi="Arial" w:cs="Arial"/>
          <w:noProof/>
        </w:rPr>
        <w:drawing>
          <wp:inline distT="0" distB="0" distL="0" distR="0" wp14:anchorId="5798FB02" wp14:editId="35446825">
            <wp:extent cx="2194560" cy="699750"/>
            <wp:effectExtent l="0" t="0" r="0" b="5715"/>
            <wp:docPr id="752162703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2703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03" cy="7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13FE" w14:textId="77777777" w:rsidR="00714AC8" w:rsidRPr="008D2E04" w:rsidRDefault="00714AC8">
      <w:pPr>
        <w:rPr>
          <w:rFonts w:ascii="Arial" w:hAnsi="Arial" w:cs="Arial"/>
        </w:rPr>
      </w:pPr>
    </w:p>
    <w:p w14:paraId="0A0E83F5" w14:textId="077D4741" w:rsidR="00714AC8" w:rsidRPr="008D2E04" w:rsidRDefault="00714AC8" w:rsidP="00714AC8">
      <w:pPr>
        <w:jc w:val="center"/>
        <w:rPr>
          <w:rFonts w:ascii="Arial" w:hAnsi="Arial" w:cs="Arial"/>
          <w:b/>
          <w:bCs/>
        </w:rPr>
      </w:pPr>
      <w:r w:rsidRPr="008D2E04">
        <w:rPr>
          <w:rFonts w:ascii="Arial" w:hAnsi="Arial" w:cs="Arial"/>
          <w:b/>
          <w:bCs/>
        </w:rPr>
        <w:t>SSC6 – Briefing Note</w:t>
      </w:r>
    </w:p>
    <w:p w14:paraId="5E5A62CB" w14:textId="77777777" w:rsidR="00714AC8" w:rsidRPr="008D2E04" w:rsidRDefault="00714AC8" w:rsidP="00714AC8">
      <w:pPr>
        <w:jc w:val="center"/>
        <w:rPr>
          <w:rFonts w:ascii="Arial" w:hAnsi="Arial" w:cs="Arial"/>
          <w:b/>
          <w:bCs/>
        </w:rPr>
      </w:pPr>
    </w:p>
    <w:p w14:paraId="54FCBD0F" w14:textId="3584634E" w:rsidR="00714AC8" w:rsidRPr="008D2E04" w:rsidRDefault="00714AC8" w:rsidP="00714AC8">
      <w:pPr>
        <w:jc w:val="both"/>
        <w:rPr>
          <w:rFonts w:ascii="Arial" w:hAnsi="Arial" w:cs="Arial"/>
          <w:sz w:val="22"/>
          <w:szCs w:val="22"/>
        </w:rPr>
      </w:pPr>
      <w:r w:rsidRPr="008D2E04">
        <w:rPr>
          <w:rFonts w:ascii="Arial" w:hAnsi="Arial" w:cs="Arial"/>
          <w:sz w:val="22"/>
          <w:szCs w:val="22"/>
        </w:rPr>
        <w:t>In readiness for the launch of the 6</w:t>
      </w:r>
      <w:r w:rsidRPr="008D2E04">
        <w:rPr>
          <w:rFonts w:ascii="Arial" w:hAnsi="Arial" w:cs="Arial"/>
          <w:sz w:val="22"/>
          <w:szCs w:val="22"/>
          <w:vertAlign w:val="superscript"/>
        </w:rPr>
        <w:t>th</w:t>
      </w:r>
      <w:r w:rsidRPr="008D2E04">
        <w:rPr>
          <w:rFonts w:ascii="Arial" w:hAnsi="Arial" w:cs="Arial"/>
          <w:sz w:val="22"/>
          <w:szCs w:val="22"/>
        </w:rPr>
        <w:t xml:space="preserve"> Edition of the Scottish Standard Clauses, this note summarises the changes made (and others considered but not made) in the drafting of SSC6.</w:t>
      </w:r>
    </w:p>
    <w:p w14:paraId="35F2B37D" w14:textId="77777777" w:rsidR="00714AC8" w:rsidRPr="008D2E04" w:rsidRDefault="00714AC8" w:rsidP="00714AC8">
      <w:pPr>
        <w:jc w:val="both"/>
        <w:rPr>
          <w:rFonts w:ascii="Arial" w:hAnsi="Arial" w:cs="Arial"/>
          <w:sz w:val="22"/>
          <w:szCs w:val="22"/>
        </w:rPr>
      </w:pPr>
    </w:p>
    <w:p w14:paraId="2E13BBB2" w14:textId="69ED7FC5" w:rsidR="00714AC8" w:rsidRPr="008D2E04" w:rsidRDefault="00714AC8" w:rsidP="00714AC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D2E04">
        <w:rPr>
          <w:rFonts w:ascii="Arial" w:hAnsi="Arial" w:cs="Arial"/>
          <w:b/>
          <w:bCs/>
          <w:sz w:val="22"/>
          <w:szCs w:val="22"/>
        </w:rPr>
        <w:t>Changes Made</w:t>
      </w:r>
    </w:p>
    <w:p w14:paraId="3C2F5335" w14:textId="77777777" w:rsidR="00714AC8" w:rsidRPr="008D2E04" w:rsidRDefault="00714AC8" w:rsidP="00714AC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7036"/>
      </w:tblGrid>
      <w:tr w:rsidR="00714AC8" w:rsidRPr="008D2E04" w14:paraId="7C32B273" w14:textId="77777777" w:rsidTr="00714AC8">
        <w:tc>
          <w:tcPr>
            <w:tcW w:w="1260" w:type="dxa"/>
          </w:tcPr>
          <w:p w14:paraId="6B1E4DE8" w14:textId="2D97F53B" w:rsidR="00714AC8" w:rsidRPr="008D2E04" w:rsidRDefault="00714AC8" w:rsidP="00714AC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E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Clause </w:t>
            </w:r>
          </w:p>
        </w:tc>
        <w:tc>
          <w:tcPr>
            <w:tcW w:w="7036" w:type="dxa"/>
          </w:tcPr>
          <w:p w14:paraId="049FA968" w14:textId="4FB3A1DB" w:rsidR="00714AC8" w:rsidRPr="008D2E04" w:rsidRDefault="000A14D9" w:rsidP="00714AC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2E04">
              <w:rPr>
                <w:rFonts w:ascii="Arial" w:hAnsi="Arial" w:cs="Arial"/>
                <w:b/>
                <w:bCs/>
                <w:sz w:val="22"/>
                <w:szCs w:val="22"/>
              </w:rPr>
              <w:t>Explanation</w:t>
            </w:r>
          </w:p>
        </w:tc>
      </w:tr>
      <w:tr w:rsidR="001A28B2" w:rsidRPr="008D2E04" w14:paraId="397FF2D0" w14:textId="77777777" w:rsidTr="00714AC8">
        <w:tc>
          <w:tcPr>
            <w:tcW w:w="1260" w:type="dxa"/>
          </w:tcPr>
          <w:p w14:paraId="2F30EB11" w14:textId="14051DA8" w:rsidR="001A28B2" w:rsidRPr="004E3DC3" w:rsidRDefault="005D37C8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7036" w:type="dxa"/>
          </w:tcPr>
          <w:p w14:paraId="02B6CA6A" w14:textId="25CFC3C5" w:rsidR="001A28B2" w:rsidRPr="004E3DC3" w:rsidRDefault="004B6609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It has become clear to the drafting group that it had become more or less universal practice to restrict the warranty at Clause 4 to exclude ‘appliances’. In order to reflect current practice, the SSC6 now removes appliances from the scope of the warranty, which henceforth is therefore restricted to central heating and systems.</w:t>
            </w:r>
            <w:r>
              <w:rPr>
                <w:rFonts w:ascii="Arial" w:hAnsi="Arial" w:cs="Arial"/>
                <w:sz w:val="22"/>
                <w:szCs w:val="22"/>
              </w:rPr>
              <w:t xml:space="preserve"> Clause 1.4 has been added to clarify that </w:t>
            </w:r>
            <w:r w:rsidR="00D73D15">
              <w:rPr>
                <w:rFonts w:ascii="Arial" w:hAnsi="Arial" w:cs="Arial"/>
                <w:sz w:val="22"/>
                <w:szCs w:val="22"/>
              </w:rPr>
              <w:t>no warranty is given in respect of appliances and that these are sold as seen.</w:t>
            </w:r>
          </w:p>
        </w:tc>
      </w:tr>
      <w:tr w:rsidR="00714AC8" w:rsidRPr="008D2E04" w14:paraId="4C6B7DFC" w14:textId="77777777" w:rsidTr="00714AC8">
        <w:tc>
          <w:tcPr>
            <w:tcW w:w="1260" w:type="dxa"/>
          </w:tcPr>
          <w:p w14:paraId="3FF4E468" w14:textId="387A8596" w:rsidR="00714AC8" w:rsidRPr="008D2E04" w:rsidRDefault="004C72AA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2.1.3</w:t>
            </w:r>
          </w:p>
        </w:tc>
        <w:tc>
          <w:tcPr>
            <w:tcW w:w="7036" w:type="dxa"/>
          </w:tcPr>
          <w:p w14:paraId="30EB42B9" w14:textId="1E0EFB06" w:rsidR="00714AC8" w:rsidRPr="008D2E04" w:rsidRDefault="004C72AA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Recent case law (</w:t>
            </w:r>
            <w:r w:rsidR="00FA0423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Busby and Donnelly v Blair </w:t>
            </w:r>
            <w:r w:rsidR="00751CFD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>[</w:t>
            </w:r>
            <w:r w:rsidR="00345C7F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>2024</w:t>
            </w:r>
            <w:r w:rsidR="00751CFD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>]</w:t>
            </w:r>
            <w:r w:rsidR="00345C7F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SC EDIN 24</w:t>
            </w:r>
            <w:r w:rsidR="005C4E6D" w:rsidRPr="008D2E0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B5738" w:rsidRPr="008D2E04">
              <w:rPr>
                <w:rFonts w:ascii="Arial" w:hAnsi="Arial" w:cs="Arial"/>
                <w:sz w:val="22"/>
                <w:szCs w:val="22"/>
              </w:rPr>
              <w:t xml:space="preserve">found – based on a much earlier edition of the SSC – a wide definition of ‘infestation’ to include </w:t>
            </w:r>
            <w:r w:rsidR="009638CE" w:rsidRPr="008D2E04">
              <w:rPr>
                <w:rFonts w:ascii="Arial" w:hAnsi="Arial" w:cs="Arial"/>
                <w:sz w:val="22"/>
                <w:szCs w:val="22"/>
              </w:rPr>
              <w:t xml:space="preserve">Japanese Knotweed. While this was in part dealt with in SSC5 with a separate </w:t>
            </w:r>
            <w:r w:rsidR="00EB09DF" w:rsidRPr="008D2E04">
              <w:rPr>
                <w:rFonts w:ascii="Arial" w:hAnsi="Arial" w:cs="Arial"/>
                <w:sz w:val="22"/>
                <w:szCs w:val="22"/>
              </w:rPr>
              <w:t xml:space="preserve">declaration that a Property is not affected by Japanese Knotweed or other </w:t>
            </w:r>
            <w:r w:rsidR="007C18F6" w:rsidRPr="008D2E04">
              <w:rPr>
                <w:rFonts w:ascii="Arial" w:hAnsi="Arial" w:cs="Arial"/>
                <w:sz w:val="22"/>
                <w:szCs w:val="22"/>
              </w:rPr>
              <w:t>invasive plant species, it was felt that the existing definition of ‘infestation’</w:t>
            </w:r>
            <w:r w:rsidR="00662FDA" w:rsidRPr="008D2E04">
              <w:rPr>
                <w:rFonts w:ascii="Arial" w:hAnsi="Arial" w:cs="Arial"/>
                <w:sz w:val="22"/>
                <w:szCs w:val="22"/>
              </w:rPr>
              <w:t xml:space="preserve"> should be clarified to mean by insect or other animal.</w:t>
            </w:r>
            <w:r w:rsidR="009638CE" w:rsidRPr="008D2E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3D15" w:rsidRPr="008D2E04" w14:paraId="6F8A3C19" w14:textId="77777777" w:rsidTr="00714AC8">
        <w:tc>
          <w:tcPr>
            <w:tcW w:w="1260" w:type="dxa"/>
          </w:tcPr>
          <w:p w14:paraId="7CB121D5" w14:textId="3C3A80B7" w:rsidR="00D73D15" w:rsidRPr="008D2E04" w:rsidRDefault="00D73D15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7036" w:type="dxa"/>
          </w:tcPr>
          <w:p w14:paraId="326BE057" w14:textId="2D257FF0" w:rsidR="00D73D15" w:rsidRPr="008D2E04" w:rsidRDefault="00D73D15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reflection, </w:t>
            </w:r>
            <w:r w:rsidR="006038D5">
              <w:rPr>
                <w:rFonts w:ascii="Arial" w:hAnsi="Arial" w:cs="Arial"/>
                <w:sz w:val="22"/>
                <w:szCs w:val="22"/>
              </w:rPr>
              <w:t>the reference to ‘other invasive plant species’ in the previous version of the SSC could be problematic</w:t>
            </w:r>
            <w:r w:rsidR="00382BDA">
              <w:rPr>
                <w:rFonts w:ascii="Arial" w:hAnsi="Arial" w:cs="Arial"/>
                <w:sz w:val="22"/>
                <w:szCs w:val="22"/>
              </w:rPr>
              <w:t xml:space="preserve">. There are various plant species considered to be invasive – including the likes of </w:t>
            </w:r>
            <w:r w:rsidR="000E1836">
              <w:rPr>
                <w:rFonts w:ascii="Arial" w:hAnsi="Arial" w:cs="Arial"/>
                <w:sz w:val="22"/>
                <w:szCs w:val="22"/>
              </w:rPr>
              <w:t xml:space="preserve">rhododendrons - </w:t>
            </w:r>
            <w:r w:rsidR="00382BDA">
              <w:rPr>
                <w:rFonts w:ascii="Arial" w:hAnsi="Arial" w:cs="Arial"/>
                <w:sz w:val="22"/>
                <w:szCs w:val="22"/>
              </w:rPr>
              <w:t>but which are not necessarily a concern in a conveyancing context</w:t>
            </w:r>
            <w:r w:rsidR="003B0073">
              <w:rPr>
                <w:rFonts w:ascii="Arial" w:hAnsi="Arial" w:cs="Arial"/>
                <w:sz w:val="22"/>
                <w:szCs w:val="22"/>
              </w:rPr>
              <w:t xml:space="preserve"> in the way that Japanese Knotweed is. We have decided to therefore restrict this clause to Japanese Knotweed only.</w:t>
            </w:r>
          </w:p>
        </w:tc>
      </w:tr>
      <w:tr w:rsidR="00714AC8" w:rsidRPr="008D2E04" w14:paraId="14716415" w14:textId="77777777" w:rsidTr="00714AC8">
        <w:tc>
          <w:tcPr>
            <w:tcW w:w="1260" w:type="dxa"/>
          </w:tcPr>
          <w:p w14:paraId="52CD1106" w14:textId="07852059" w:rsidR="00714AC8" w:rsidRPr="008D2E04" w:rsidRDefault="00031DEE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36" w:type="dxa"/>
          </w:tcPr>
          <w:p w14:paraId="20130346" w14:textId="715B7128" w:rsidR="00714AC8" w:rsidRPr="008D2E04" w:rsidRDefault="00D73D15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1.4 above. This clause has been amended to remove all references to appliances.</w:t>
            </w:r>
          </w:p>
        </w:tc>
      </w:tr>
      <w:tr w:rsidR="00714AC8" w:rsidRPr="008D2E04" w14:paraId="38DEAF5F" w14:textId="77777777" w:rsidTr="00714AC8">
        <w:tc>
          <w:tcPr>
            <w:tcW w:w="1260" w:type="dxa"/>
          </w:tcPr>
          <w:p w14:paraId="5D193053" w14:textId="0557B59A" w:rsidR="00714AC8" w:rsidRPr="008D2E04" w:rsidRDefault="00C95609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11.4</w:t>
            </w:r>
          </w:p>
        </w:tc>
        <w:tc>
          <w:tcPr>
            <w:tcW w:w="7036" w:type="dxa"/>
          </w:tcPr>
          <w:p w14:paraId="2A5FD0EC" w14:textId="5B79B62E" w:rsidR="00714AC8" w:rsidRPr="008D2E04" w:rsidRDefault="00C95609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 xml:space="preserve">This has been updated to refer to </w:t>
            </w:r>
            <w:r w:rsidR="00B103FA" w:rsidRPr="008D2E04">
              <w:rPr>
                <w:rFonts w:ascii="Arial" w:hAnsi="Arial" w:cs="Arial"/>
                <w:sz w:val="22"/>
                <w:szCs w:val="22"/>
              </w:rPr>
              <w:t>current applicable legislation</w:t>
            </w:r>
          </w:p>
        </w:tc>
      </w:tr>
      <w:tr w:rsidR="00714AC8" w:rsidRPr="008D2E04" w14:paraId="3751C7FB" w14:textId="77777777" w:rsidTr="00714AC8">
        <w:tc>
          <w:tcPr>
            <w:tcW w:w="1260" w:type="dxa"/>
          </w:tcPr>
          <w:p w14:paraId="51FAADD8" w14:textId="5A491A27" w:rsidR="00714AC8" w:rsidRPr="008D2E04" w:rsidRDefault="004D2A6A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36" w:type="dxa"/>
          </w:tcPr>
          <w:p w14:paraId="18EC2B9C" w14:textId="668A3AC0" w:rsidR="00714AC8" w:rsidRPr="008D2E04" w:rsidRDefault="00E55D56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Another recent case (</w:t>
            </w:r>
            <w:r w:rsidRPr="008D2E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Franks and others v </w:t>
            </w:r>
            <w:r w:rsidR="00751CFD" w:rsidRPr="008D2E04">
              <w:rPr>
                <w:rFonts w:ascii="Arial" w:hAnsi="Arial" w:cs="Arial"/>
                <w:i/>
                <w:iCs/>
                <w:sz w:val="22"/>
                <w:szCs w:val="22"/>
              </w:rPr>
              <w:t>Inglis [2021] SC PER 41</w:t>
            </w:r>
            <w:r w:rsidR="00751CFD" w:rsidRPr="008D2E0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027DC" w:rsidRPr="008D2E04">
              <w:rPr>
                <w:rFonts w:ascii="Arial" w:hAnsi="Arial" w:cs="Arial"/>
                <w:sz w:val="22"/>
                <w:szCs w:val="22"/>
              </w:rPr>
              <w:t xml:space="preserve">has cast doubt on </w:t>
            </w:r>
            <w:r w:rsidR="00E95DA6" w:rsidRPr="008D2E0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64C7B" w:rsidRPr="008D2E04">
              <w:rPr>
                <w:rFonts w:ascii="Arial" w:hAnsi="Arial" w:cs="Arial"/>
                <w:sz w:val="22"/>
                <w:szCs w:val="22"/>
              </w:rPr>
              <w:t xml:space="preserve">protection offered to a purchaser by a </w:t>
            </w:r>
            <w:r w:rsidR="008A2207" w:rsidRPr="008D2E04">
              <w:rPr>
                <w:rFonts w:ascii="Arial" w:hAnsi="Arial" w:cs="Arial"/>
                <w:sz w:val="22"/>
                <w:szCs w:val="22"/>
              </w:rPr>
              <w:t xml:space="preserve">Professional Consultants Certificate / Architects Supervision Certificate where a purchaser cannot </w:t>
            </w:r>
            <w:r w:rsidR="00D12494" w:rsidRPr="008D2E04">
              <w:rPr>
                <w:rFonts w:ascii="Arial" w:hAnsi="Arial" w:cs="Arial"/>
                <w:sz w:val="22"/>
                <w:szCs w:val="22"/>
              </w:rPr>
              <w:t xml:space="preserve">evidence </w:t>
            </w:r>
            <w:r w:rsidR="00BD64D5" w:rsidRPr="008D2E04">
              <w:rPr>
                <w:rFonts w:ascii="Arial" w:hAnsi="Arial" w:cs="Arial"/>
                <w:sz w:val="22"/>
                <w:szCs w:val="22"/>
              </w:rPr>
              <w:t>reliance placed on the Certificate prior to conclusion of missives</w:t>
            </w:r>
            <w:r w:rsidR="00313EF0" w:rsidRPr="008D2E0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54579" w:rsidRPr="008D2E04">
              <w:rPr>
                <w:rFonts w:ascii="Arial" w:hAnsi="Arial" w:cs="Arial"/>
                <w:sz w:val="22"/>
                <w:szCs w:val="22"/>
              </w:rPr>
              <w:t xml:space="preserve">Accordingly, it was thought best to remove </w:t>
            </w:r>
            <w:r w:rsidR="002C3551" w:rsidRPr="008D2E04">
              <w:rPr>
                <w:rFonts w:ascii="Arial" w:hAnsi="Arial" w:cs="Arial"/>
                <w:sz w:val="22"/>
                <w:szCs w:val="22"/>
              </w:rPr>
              <w:t>reference to a PCC in Clause 14, which now refers only to new home warranty cover</w:t>
            </w:r>
            <w:r w:rsidR="00EE0ED8" w:rsidRPr="008D2E04">
              <w:rPr>
                <w:rFonts w:ascii="Arial" w:hAnsi="Arial" w:cs="Arial"/>
                <w:sz w:val="22"/>
                <w:szCs w:val="22"/>
              </w:rPr>
              <w:t xml:space="preserve">, and any case involving a PCC </w:t>
            </w:r>
            <w:r w:rsidR="00681FCE" w:rsidRPr="008D2E04">
              <w:rPr>
                <w:rFonts w:ascii="Arial" w:hAnsi="Arial" w:cs="Arial"/>
                <w:sz w:val="22"/>
                <w:szCs w:val="22"/>
              </w:rPr>
              <w:t>will therefore necessitate amendment to missives</w:t>
            </w:r>
            <w:r w:rsidR="002628B6" w:rsidRPr="008D2E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1D57" w:rsidRPr="008D2E04" w14:paraId="151D5CA9" w14:textId="77777777" w:rsidTr="00714AC8">
        <w:tc>
          <w:tcPr>
            <w:tcW w:w="1260" w:type="dxa"/>
          </w:tcPr>
          <w:p w14:paraId="28B7E482" w14:textId="47F7A291" w:rsidR="00331D57" w:rsidRPr="008D2E04" w:rsidRDefault="00331D57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17.5</w:t>
            </w:r>
          </w:p>
        </w:tc>
        <w:tc>
          <w:tcPr>
            <w:tcW w:w="7036" w:type="dxa"/>
          </w:tcPr>
          <w:p w14:paraId="31C60793" w14:textId="4430C04D" w:rsidR="00331D57" w:rsidRPr="008D2E04" w:rsidRDefault="005E2F97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References to Advance Notices being in a form adjusted with the purchaser were removed in a previous edition of the SSC but one </w:t>
            </w:r>
            <w:r w:rsidR="00DF6711">
              <w:rPr>
                <w:rFonts w:ascii="Arial" w:hAnsi="Arial" w:cs="Arial"/>
                <w:sz w:val="22"/>
                <w:szCs w:val="22"/>
              </w:rPr>
              <w:t>such reference remained at 17.5, which has now been deleted.</w:t>
            </w:r>
          </w:p>
        </w:tc>
      </w:tr>
      <w:tr w:rsidR="00714AC8" w:rsidRPr="008D2E04" w14:paraId="43EC83B6" w14:textId="77777777" w:rsidTr="00714AC8">
        <w:tc>
          <w:tcPr>
            <w:tcW w:w="1260" w:type="dxa"/>
          </w:tcPr>
          <w:p w14:paraId="5771A686" w14:textId="74D54E12" w:rsidR="00714AC8" w:rsidRPr="008D2E04" w:rsidRDefault="00245BD6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18.1.7</w:t>
            </w:r>
          </w:p>
        </w:tc>
        <w:tc>
          <w:tcPr>
            <w:tcW w:w="7036" w:type="dxa"/>
          </w:tcPr>
          <w:p w14:paraId="3E0E4151" w14:textId="22AA9C88" w:rsidR="00714AC8" w:rsidRPr="008D2E04" w:rsidRDefault="00237589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 xml:space="preserve">This has been deleted as </w:t>
            </w:r>
            <w:r w:rsidR="00CC7285" w:rsidRPr="008D2E04">
              <w:rPr>
                <w:rFonts w:ascii="Arial" w:hAnsi="Arial" w:cs="Arial"/>
                <w:sz w:val="22"/>
                <w:szCs w:val="22"/>
              </w:rPr>
              <w:t xml:space="preserve">not now </w:t>
            </w:r>
            <w:r w:rsidR="00BA57A6" w:rsidRPr="008D2E04">
              <w:rPr>
                <w:rFonts w:ascii="Arial" w:hAnsi="Arial" w:cs="Arial"/>
                <w:sz w:val="22"/>
                <w:szCs w:val="22"/>
              </w:rPr>
              <w:t>correct or required.</w:t>
            </w:r>
          </w:p>
        </w:tc>
      </w:tr>
      <w:tr w:rsidR="007B4F35" w:rsidRPr="008D2E04" w14:paraId="7CEFBA84" w14:textId="77777777" w:rsidTr="00714AC8">
        <w:tc>
          <w:tcPr>
            <w:tcW w:w="1260" w:type="dxa"/>
          </w:tcPr>
          <w:p w14:paraId="4CD8B322" w14:textId="480FB540" w:rsidR="007B4F35" w:rsidRPr="008D2E04" w:rsidRDefault="007B4F35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lastRenderedPageBreak/>
              <w:t>19.5</w:t>
            </w:r>
          </w:p>
        </w:tc>
        <w:tc>
          <w:tcPr>
            <w:tcW w:w="7036" w:type="dxa"/>
          </w:tcPr>
          <w:p w14:paraId="305D0E06" w14:textId="1B424EE5" w:rsidR="007B4F35" w:rsidRPr="008D2E04" w:rsidRDefault="00152872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This has been updated to refer to the new clause 36 which deals with the Register of Overseas Entities</w:t>
            </w:r>
            <w:r w:rsidR="00D96117" w:rsidRPr="008D2E04">
              <w:rPr>
                <w:rFonts w:ascii="Arial" w:hAnsi="Arial" w:cs="Arial"/>
                <w:sz w:val="22"/>
                <w:szCs w:val="22"/>
              </w:rPr>
              <w:t xml:space="preserve">, while keeping in place the general declaration that the seller not be a corporate body registered </w:t>
            </w:r>
            <w:proofErr w:type="spellStart"/>
            <w:r w:rsidR="00D96117" w:rsidRPr="008D2E04">
              <w:rPr>
                <w:rFonts w:ascii="Arial" w:hAnsi="Arial" w:cs="Arial"/>
                <w:sz w:val="22"/>
                <w:szCs w:val="22"/>
              </w:rPr>
              <w:t>outwith</w:t>
            </w:r>
            <w:proofErr w:type="spellEnd"/>
            <w:r w:rsidR="00D96117" w:rsidRPr="008D2E04">
              <w:rPr>
                <w:rFonts w:ascii="Arial" w:hAnsi="Arial" w:cs="Arial"/>
                <w:sz w:val="22"/>
                <w:szCs w:val="22"/>
              </w:rPr>
              <w:t xml:space="preserve"> the UK.</w:t>
            </w:r>
            <w:r w:rsidR="00715F4A" w:rsidRPr="008D2E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4AC8" w:rsidRPr="008D2E04" w14:paraId="77A311E4" w14:textId="77777777" w:rsidTr="00714AC8">
        <w:tc>
          <w:tcPr>
            <w:tcW w:w="1260" w:type="dxa"/>
          </w:tcPr>
          <w:p w14:paraId="6385BB4D" w14:textId="4BEBBF4C" w:rsidR="00714AC8" w:rsidRPr="008D2E04" w:rsidRDefault="00605021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36" w:type="dxa"/>
          </w:tcPr>
          <w:p w14:paraId="1C6F5F2D" w14:textId="1CDE2B1D" w:rsidR="00714AC8" w:rsidRPr="008D2E04" w:rsidRDefault="00EF40A2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The minimum claim amount has been increased</w:t>
            </w:r>
            <w:r w:rsidR="00607C74" w:rsidRPr="008D2E04">
              <w:rPr>
                <w:rFonts w:ascii="Arial" w:hAnsi="Arial" w:cs="Arial"/>
                <w:sz w:val="22"/>
                <w:szCs w:val="22"/>
              </w:rPr>
              <w:t xml:space="preserve"> to £500</w:t>
            </w:r>
            <w:r w:rsidR="0009249B" w:rsidRPr="008D2E04">
              <w:rPr>
                <w:rFonts w:ascii="Arial" w:hAnsi="Arial" w:cs="Arial"/>
                <w:sz w:val="22"/>
                <w:szCs w:val="22"/>
              </w:rPr>
              <w:t xml:space="preserve">. This had not been increased since SSC3 in 2018. </w:t>
            </w:r>
            <w:r w:rsidR="00C14C9D" w:rsidRPr="008D2E04">
              <w:rPr>
                <w:rFonts w:ascii="Arial" w:hAnsi="Arial" w:cs="Arial"/>
                <w:sz w:val="22"/>
                <w:szCs w:val="22"/>
              </w:rPr>
              <w:t>An increase due to inflation seemed sensible.</w:t>
            </w:r>
            <w:r w:rsidRPr="008D2E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4AC8" w:rsidRPr="008D2E04" w14:paraId="29392A23" w14:textId="77777777" w:rsidTr="00714AC8">
        <w:tc>
          <w:tcPr>
            <w:tcW w:w="1260" w:type="dxa"/>
          </w:tcPr>
          <w:p w14:paraId="45F26225" w14:textId="4BE9DEF0" w:rsidR="00714AC8" w:rsidRPr="008D2E04" w:rsidRDefault="00DF30D5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30.2</w:t>
            </w:r>
          </w:p>
        </w:tc>
        <w:tc>
          <w:tcPr>
            <w:tcW w:w="7036" w:type="dxa"/>
          </w:tcPr>
          <w:p w14:paraId="7EAC0B44" w14:textId="2D2B0DCA" w:rsidR="00714AC8" w:rsidRPr="008D2E04" w:rsidRDefault="00C67376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 xml:space="preserve">This now requires that any </w:t>
            </w:r>
            <w:proofErr w:type="spellStart"/>
            <w:r w:rsidR="00E24EFA" w:rsidRPr="008D2E04">
              <w:rPr>
                <w:rFonts w:ascii="Arial" w:hAnsi="Arial" w:cs="Arial"/>
                <w:sz w:val="22"/>
                <w:szCs w:val="22"/>
              </w:rPr>
              <w:t>Decrofting</w:t>
            </w:r>
            <w:proofErr w:type="spellEnd"/>
            <w:r w:rsidR="00E24EFA" w:rsidRPr="008D2E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7A2" w:rsidRPr="008D2E04">
              <w:rPr>
                <w:rFonts w:ascii="Arial" w:hAnsi="Arial" w:cs="Arial"/>
                <w:sz w:val="22"/>
                <w:szCs w:val="22"/>
              </w:rPr>
              <w:t>Direction or Resumption Order be registered in the Croftin</w:t>
            </w:r>
            <w:r w:rsidR="00531232" w:rsidRPr="008D2E04">
              <w:rPr>
                <w:rFonts w:ascii="Arial" w:hAnsi="Arial" w:cs="Arial"/>
                <w:sz w:val="22"/>
                <w:szCs w:val="22"/>
              </w:rPr>
              <w:t>g</w:t>
            </w:r>
            <w:r w:rsidR="009517A2" w:rsidRPr="008D2E04">
              <w:rPr>
                <w:rFonts w:ascii="Arial" w:hAnsi="Arial" w:cs="Arial"/>
                <w:sz w:val="22"/>
                <w:szCs w:val="22"/>
              </w:rPr>
              <w:t xml:space="preserve"> Register.</w:t>
            </w:r>
          </w:p>
        </w:tc>
      </w:tr>
      <w:tr w:rsidR="000A14D9" w:rsidRPr="008D2E04" w14:paraId="30101EBD" w14:textId="77777777" w:rsidTr="00714AC8">
        <w:tc>
          <w:tcPr>
            <w:tcW w:w="1260" w:type="dxa"/>
          </w:tcPr>
          <w:p w14:paraId="50BC4EFF" w14:textId="78CA54EF" w:rsidR="000A14D9" w:rsidRPr="008D2E04" w:rsidRDefault="00FC56AB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36" w:type="dxa"/>
          </w:tcPr>
          <w:p w14:paraId="632F7E60" w14:textId="4BC2887E" w:rsidR="000A14D9" w:rsidRPr="008D2E04" w:rsidRDefault="001130AE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A clause has been added in respect of the Register of Overseas Entities</w:t>
            </w:r>
            <w:r w:rsidR="002F338E" w:rsidRPr="008D2E04">
              <w:rPr>
                <w:rFonts w:ascii="Arial" w:hAnsi="Arial" w:cs="Arial"/>
                <w:sz w:val="22"/>
                <w:szCs w:val="22"/>
              </w:rPr>
              <w:t xml:space="preserve">, and the drafting </w:t>
            </w:r>
            <w:r w:rsidR="00D65F41" w:rsidRPr="008D2E04">
              <w:rPr>
                <w:rFonts w:ascii="Arial" w:hAnsi="Arial" w:cs="Arial"/>
                <w:sz w:val="22"/>
                <w:szCs w:val="22"/>
              </w:rPr>
              <w:t>group is most grateful to Professors Gretton and Reid for their suggested wording in this regard.</w:t>
            </w:r>
          </w:p>
        </w:tc>
      </w:tr>
      <w:tr w:rsidR="000A14D9" w:rsidRPr="008D2E04" w14:paraId="4EABFC42" w14:textId="77777777" w:rsidTr="00714AC8">
        <w:tc>
          <w:tcPr>
            <w:tcW w:w="1260" w:type="dxa"/>
          </w:tcPr>
          <w:p w14:paraId="67924DA4" w14:textId="097AE619" w:rsidR="000A14D9" w:rsidRPr="008D2E04" w:rsidRDefault="00D96117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Various</w:t>
            </w:r>
          </w:p>
        </w:tc>
        <w:tc>
          <w:tcPr>
            <w:tcW w:w="7036" w:type="dxa"/>
          </w:tcPr>
          <w:p w14:paraId="72B96D88" w14:textId="5AEAFE08" w:rsidR="000A14D9" w:rsidRPr="008D2E04" w:rsidRDefault="00AE3342" w:rsidP="00714A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2E04">
              <w:rPr>
                <w:rFonts w:ascii="Arial" w:hAnsi="Arial" w:cs="Arial"/>
                <w:sz w:val="22"/>
                <w:szCs w:val="22"/>
              </w:rPr>
              <w:t>In addition to the above, there have been various more minor updates to clauses including</w:t>
            </w:r>
            <w:r w:rsidR="00640A7B" w:rsidRPr="008D2E0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E67A3" w:rsidRPr="008D2E04">
              <w:rPr>
                <w:rFonts w:ascii="Arial" w:hAnsi="Arial" w:cs="Arial"/>
                <w:sz w:val="22"/>
                <w:szCs w:val="22"/>
              </w:rPr>
              <w:t>to correct</w:t>
            </w:r>
            <w:r w:rsidRPr="008D2E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2C6" w:rsidRPr="008D2E04">
              <w:rPr>
                <w:rFonts w:ascii="Arial" w:hAnsi="Arial" w:cs="Arial"/>
                <w:sz w:val="22"/>
                <w:szCs w:val="22"/>
              </w:rPr>
              <w:t xml:space="preserve">one definition which had </w:t>
            </w:r>
            <w:r w:rsidR="00305C26" w:rsidRPr="008D2E04">
              <w:rPr>
                <w:rFonts w:ascii="Arial" w:hAnsi="Arial" w:cs="Arial"/>
                <w:sz w:val="22"/>
                <w:szCs w:val="22"/>
              </w:rPr>
              <w:t xml:space="preserve">escaped </w:t>
            </w:r>
            <w:r w:rsidR="003E67A3" w:rsidRPr="008D2E04">
              <w:rPr>
                <w:rFonts w:ascii="Arial" w:hAnsi="Arial" w:cs="Arial"/>
                <w:sz w:val="22"/>
                <w:szCs w:val="22"/>
              </w:rPr>
              <w:t>the exercise of making the SSC gender neutral a few years ago</w:t>
            </w:r>
            <w:r w:rsidR="007B34E6" w:rsidRPr="008D2E04">
              <w:rPr>
                <w:rFonts w:ascii="Arial" w:hAnsi="Arial" w:cs="Arial"/>
                <w:sz w:val="22"/>
                <w:szCs w:val="22"/>
              </w:rPr>
              <w:t>, the odd typo or formatting correction, and the addition of bullet points</w:t>
            </w:r>
            <w:r w:rsidR="00414B1E" w:rsidRPr="008D2E04">
              <w:rPr>
                <w:rFonts w:ascii="Arial" w:hAnsi="Arial" w:cs="Arial"/>
                <w:sz w:val="22"/>
                <w:szCs w:val="22"/>
              </w:rPr>
              <w:t xml:space="preserve"> to 1.1.4 to make this more readable.</w:t>
            </w:r>
          </w:p>
        </w:tc>
      </w:tr>
    </w:tbl>
    <w:p w14:paraId="22A01D64" w14:textId="77777777" w:rsidR="00714AC8" w:rsidRPr="008D2E04" w:rsidRDefault="00714AC8" w:rsidP="00714AC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189345AA" w14:textId="77777777" w:rsidR="00714AC8" w:rsidRPr="008D2E04" w:rsidRDefault="00714AC8" w:rsidP="00714AC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26CC2C16" w14:textId="77777777" w:rsidR="00714AC8" w:rsidRPr="008D2E04" w:rsidRDefault="00714AC8" w:rsidP="00714AC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5A1993A8" w14:textId="77777777" w:rsidR="00714AC8" w:rsidRPr="008D2E04" w:rsidRDefault="00714AC8" w:rsidP="00714AC8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099F8162" w14:textId="33CD0346" w:rsidR="00714AC8" w:rsidRDefault="00714AC8" w:rsidP="006633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D2E04">
        <w:rPr>
          <w:rFonts w:ascii="Arial" w:hAnsi="Arial" w:cs="Arial"/>
          <w:b/>
          <w:bCs/>
          <w:sz w:val="22"/>
          <w:szCs w:val="22"/>
        </w:rPr>
        <w:t xml:space="preserve">Changes considered but </w:t>
      </w:r>
      <w:r w:rsidRPr="008D2E04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8D2E04">
        <w:rPr>
          <w:rFonts w:ascii="Arial" w:hAnsi="Arial" w:cs="Arial"/>
          <w:b/>
          <w:bCs/>
          <w:sz w:val="22"/>
          <w:szCs w:val="22"/>
        </w:rPr>
        <w:t xml:space="preserve"> made</w:t>
      </w:r>
    </w:p>
    <w:p w14:paraId="2E4557C2" w14:textId="77777777" w:rsidR="001744C4" w:rsidRPr="008D2E04" w:rsidRDefault="001744C4" w:rsidP="001744C4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670FDC53" w14:textId="5512418E" w:rsidR="00714AC8" w:rsidRPr="00576240" w:rsidRDefault="00985997" w:rsidP="0066330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76240">
        <w:rPr>
          <w:rFonts w:ascii="Arial" w:hAnsi="Arial" w:cs="Arial"/>
          <w:sz w:val="22"/>
          <w:szCs w:val="22"/>
          <w:u w:val="single"/>
        </w:rPr>
        <w:t>Cladding</w:t>
      </w:r>
    </w:p>
    <w:p w14:paraId="4ADB45E7" w14:textId="7C0BE965" w:rsidR="00985997" w:rsidRDefault="00985997" w:rsidP="0066330D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D2E04">
        <w:rPr>
          <w:rFonts w:ascii="Arial" w:hAnsi="Arial" w:cs="Arial"/>
          <w:sz w:val="22"/>
          <w:szCs w:val="22"/>
        </w:rPr>
        <w:t xml:space="preserve">There remains no clause in the SSC to deal with cladding. While the </w:t>
      </w:r>
      <w:r w:rsidR="00291A38" w:rsidRPr="008D2E04">
        <w:rPr>
          <w:rFonts w:ascii="Arial" w:hAnsi="Arial" w:cs="Arial"/>
          <w:sz w:val="22"/>
          <w:szCs w:val="22"/>
        </w:rPr>
        <w:t xml:space="preserve">Housing (Cladding Remediation) (Scotland) Act 2024 has now been passed, </w:t>
      </w:r>
      <w:r w:rsidR="000F3391" w:rsidRPr="008D2E04">
        <w:rPr>
          <w:rFonts w:ascii="Arial" w:hAnsi="Arial" w:cs="Arial"/>
          <w:sz w:val="22"/>
          <w:szCs w:val="22"/>
        </w:rPr>
        <w:t xml:space="preserve">there remains some uncertainty around how this will affect conveyancing practice, </w:t>
      </w:r>
      <w:r w:rsidR="00C67D0F" w:rsidRPr="008D2E04">
        <w:rPr>
          <w:rFonts w:ascii="Arial" w:hAnsi="Arial" w:cs="Arial"/>
          <w:sz w:val="22"/>
          <w:szCs w:val="22"/>
        </w:rPr>
        <w:t xml:space="preserve">including the interplay between the new statutory regime and existing EWS1s, the process for </w:t>
      </w:r>
      <w:r w:rsidR="008D1007" w:rsidRPr="008D2E04">
        <w:rPr>
          <w:rFonts w:ascii="Arial" w:hAnsi="Arial" w:cs="Arial"/>
          <w:sz w:val="22"/>
          <w:szCs w:val="22"/>
        </w:rPr>
        <w:t>registration in the Cladding Assurance Register or the</w:t>
      </w:r>
      <w:r w:rsidR="00710E32" w:rsidRPr="008D2E04">
        <w:rPr>
          <w:rFonts w:ascii="Arial" w:hAnsi="Arial" w:cs="Arial"/>
          <w:sz w:val="22"/>
          <w:szCs w:val="22"/>
        </w:rPr>
        <w:t xml:space="preserve"> availability and cost of searches in the Register. </w:t>
      </w:r>
      <w:r w:rsidR="00F8345B" w:rsidRPr="008D2E04">
        <w:rPr>
          <w:rFonts w:ascii="Arial" w:hAnsi="Arial" w:cs="Arial"/>
          <w:sz w:val="22"/>
          <w:szCs w:val="22"/>
        </w:rPr>
        <w:t xml:space="preserve">For now, cladding will still </w:t>
      </w:r>
      <w:r w:rsidR="003162DD" w:rsidRPr="008D2E04">
        <w:rPr>
          <w:rFonts w:ascii="Arial" w:hAnsi="Arial" w:cs="Arial"/>
          <w:sz w:val="22"/>
          <w:szCs w:val="22"/>
        </w:rPr>
        <w:t xml:space="preserve">therefore </w:t>
      </w:r>
      <w:r w:rsidR="00F8345B" w:rsidRPr="008D2E04">
        <w:rPr>
          <w:rFonts w:ascii="Arial" w:hAnsi="Arial" w:cs="Arial"/>
          <w:sz w:val="22"/>
          <w:szCs w:val="22"/>
        </w:rPr>
        <w:t xml:space="preserve">require </w:t>
      </w:r>
      <w:r w:rsidR="003162DD" w:rsidRPr="008D2E04">
        <w:rPr>
          <w:rFonts w:ascii="Arial" w:hAnsi="Arial" w:cs="Arial"/>
          <w:sz w:val="22"/>
          <w:szCs w:val="22"/>
        </w:rPr>
        <w:t>separation consideration where it is likely to apply.</w:t>
      </w:r>
      <w:r w:rsidRPr="008D2E04">
        <w:rPr>
          <w:rFonts w:ascii="Arial" w:hAnsi="Arial" w:cs="Arial"/>
          <w:sz w:val="22"/>
          <w:szCs w:val="22"/>
        </w:rPr>
        <w:t xml:space="preserve"> </w:t>
      </w:r>
    </w:p>
    <w:p w14:paraId="53393EC0" w14:textId="77777777" w:rsidR="003A2C85" w:rsidRPr="008D2E04" w:rsidRDefault="003A2C85" w:rsidP="0066330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E11125F" w14:textId="6A1A14B2" w:rsidR="00985997" w:rsidRPr="00576240" w:rsidRDefault="00B55C5C" w:rsidP="0066330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76240">
        <w:rPr>
          <w:rFonts w:ascii="Arial" w:hAnsi="Arial" w:cs="Arial"/>
          <w:sz w:val="22"/>
          <w:szCs w:val="22"/>
          <w:u w:val="single"/>
        </w:rPr>
        <w:t>Standard Clause 7</w:t>
      </w:r>
    </w:p>
    <w:p w14:paraId="535554BF" w14:textId="3D7CB3E5" w:rsidR="00B55C5C" w:rsidRDefault="00B55C5C" w:rsidP="0066330D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D2E04">
        <w:rPr>
          <w:rFonts w:ascii="Arial" w:hAnsi="Arial" w:cs="Arial"/>
          <w:sz w:val="22"/>
          <w:szCs w:val="22"/>
        </w:rPr>
        <w:t>We have had several discussion</w:t>
      </w:r>
      <w:r w:rsidR="00192F46" w:rsidRPr="008D2E04">
        <w:rPr>
          <w:rFonts w:ascii="Arial" w:hAnsi="Arial" w:cs="Arial"/>
          <w:sz w:val="22"/>
          <w:szCs w:val="22"/>
        </w:rPr>
        <w:t xml:space="preserve">s about Standard Clause 7 and </w:t>
      </w:r>
      <w:r w:rsidR="001F5A85" w:rsidRPr="008D2E04">
        <w:rPr>
          <w:rFonts w:ascii="Arial" w:hAnsi="Arial" w:cs="Arial"/>
          <w:sz w:val="22"/>
          <w:szCs w:val="22"/>
        </w:rPr>
        <w:t xml:space="preserve">situations where </w:t>
      </w:r>
      <w:r w:rsidR="00076805" w:rsidRPr="008D2E04">
        <w:rPr>
          <w:rFonts w:ascii="Arial" w:hAnsi="Arial" w:cs="Arial"/>
          <w:sz w:val="22"/>
          <w:szCs w:val="22"/>
        </w:rPr>
        <w:t xml:space="preserve">a factor letter discloses </w:t>
      </w:r>
      <w:r w:rsidR="006D6BE9" w:rsidRPr="008D2E04">
        <w:rPr>
          <w:rFonts w:ascii="Arial" w:hAnsi="Arial" w:cs="Arial"/>
          <w:sz w:val="22"/>
          <w:szCs w:val="22"/>
        </w:rPr>
        <w:t xml:space="preserve">significant outstanding debt (which could be billed to current and future owners) </w:t>
      </w:r>
      <w:r w:rsidR="0071560C" w:rsidRPr="008D2E04">
        <w:rPr>
          <w:rFonts w:ascii="Arial" w:hAnsi="Arial" w:cs="Arial"/>
          <w:sz w:val="22"/>
          <w:szCs w:val="22"/>
        </w:rPr>
        <w:t xml:space="preserve">but have decided that </w:t>
      </w:r>
      <w:r w:rsidR="00DE664D" w:rsidRPr="008D2E04">
        <w:rPr>
          <w:rFonts w:ascii="Arial" w:hAnsi="Arial" w:cs="Arial"/>
          <w:sz w:val="22"/>
          <w:szCs w:val="22"/>
        </w:rPr>
        <w:t xml:space="preserve">solutions to this are perhaps more problematic than the </w:t>
      </w:r>
      <w:r w:rsidR="00B05CB7" w:rsidRPr="008D2E04">
        <w:rPr>
          <w:rFonts w:ascii="Arial" w:hAnsi="Arial" w:cs="Arial"/>
          <w:sz w:val="22"/>
          <w:szCs w:val="22"/>
        </w:rPr>
        <w:t xml:space="preserve">issue itself </w:t>
      </w:r>
      <w:r w:rsidR="00E3370D" w:rsidRPr="008D2E04">
        <w:rPr>
          <w:rFonts w:ascii="Arial" w:hAnsi="Arial" w:cs="Arial"/>
          <w:sz w:val="22"/>
          <w:szCs w:val="22"/>
        </w:rPr>
        <w:t>and so have not made any change to the SSC for now.</w:t>
      </w:r>
    </w:p>
    <w:p w14:paraId="059C2C20" w14:textId="77777777" w:rsidR="003A2C85" w:rsidRDefault="003A2C85" w:rsidP="0066330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649A4A7" w14:textId="6737DC6A" w:rsidR="0032318E" w:rsidRPr="00576240" w:rsidRDefault="00041787" w:rsidP="0032318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76240">
        <w:rPr>
          <w:rFonts w:ascii="Arial" w:hAnsi="Arial" w:cs="Arial"/>
          <w:sz w:val="22"/>
          <w:szCs w:val="22"/>
          <w:u w:val="single"/>
        </w:rPr>
        <w:t>Late conclusion of Missives</w:t>
      </w:r>
    </w:p>
    <w:p w14:paraId="29129DF5" w14:textId="6E0F1F2D" w:rsidR="00041787" w:rsidRPr="0032318E" w:rsidRDefault="00041787" w:rsidP="00041787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couple of suggestions have been made to </w:t>
      </w:r>
      <w:r w:rsidR="00A71D78">
        <w:rPr>
          <w:rFonts w:ascii="Arial" w:hAnsi="Arial" w:cs="Arial"/>
          <w:sz w:val="22"/>
          <w:szCs w:val="22"/>
        </w:rPr>
        <w:t>deal with the persistent issue of late conclusion of missives</w:t>
      </w:r>
      <w:r w:rsidR="003678D8">
        <w:rPr>
          <w:rFonts w:ascii="Arial" w:hAnsi="Arial" w:cs="Arial"/>
          <w:sz w:val="22"/>
          <w:szCs w:val="22"/>
        </w:rPr>
        <w:t xml:space="preserve">, which is exacerbated by the </w:t>
      </w:r>
      <w:r w:rsidR="00E16617">
        <w:rPr>
          <w:rFonts w:ascii="Arial" w:hAnsi="Arial" w:cs="Arial"/>
          <w:sz w:val="22"/>
          <w:szCs w:val="22"/>
        </w:rPr>
        <w:t xml:space="preserve">significant number of ‘chains’ prevalent in the property market today. </w:t>
      </w:r>
      <w:r w:rsidR="00F7419F">
        <w:rPr>
          <w:rFonts w:ascii="Arial" w:hAnsi="Arial" w:cs="Arial"/>
          <w:sz w:val="22"/>
          <w:szCs w:val="22"/>
        </w:rPr>
        <w:t xml:space="preserve">Some have suggested including clauses in missives requiring that the Date of Entry must be a certain period after missives have been concluded. </w:t>
      </w:r>
      <w:r w:rsidR="00782456">
        <w:rPr>
          <w:rFonts w:ascii="Arial" w:hAnsi="Arial" w:cs="Arial"/>
          <w:sz w:val="22"/>
          <w:szCs w:val="22"/>
        </w:rPr>
        <w:t xml:space="preserve">While </w:t>
      </w:r>
      <w:r w:rsidR="009C4253">
        <w:rPr>
          <w:rFonts w:ascii="Arial" w:hAnsi="Arial" w:cs="Arial"/>
          <w:sz w:val="22"/>
          <w:szCs w:val="22"/>
        </w:rPr>
        <w:t xml:space="preserve">the working party agree that late conclusion of missives is a problem, we do not consider that this will be solved by </w:t>
      </w:r>
      <w:r w:rsidR="00144D29">
        <w:rPr>
          <w:rFonts w:ascii="Arial" w:hAnsi="Arial" w:cs="Arial"/>
          <w:sz w:val="22"/>
          <w:szCs w:val="22"/>
        </w:rPr>
        <w:t>any changes</w:t>
      </w:r>
      <w:r w:rsidR="00576240">
        <w:rPr>
          <w:rFonts w:ascii="Arial" w:hAnsi="Arial" w:cs="Arial"/>
          <w:sz w:val="22"/>
          <w:szCs w:val="22"/>
        </w:rPr>
        <w:t xml:space="preserve"> within the SSC.</w:t>
      </w:r>
    </w:p>
    <w:sectPr w:rsidR="00041787" w:rsidRPr="0032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1641"/>
    <w:multiLevelType w:val="hybridMultilevel"/>
    <w:tmpl w:val="447E1C6C"/>
    <w:lvl w:ilvl="0" w:tplc="961072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62A"/>
    <w:multiLevelType w:val="hybridMultilevel"/>
    <w:tmpl w:val="34224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4296">
    <w:abstractNumId w:val="1"/>
  </w:num>
  <w:num w:numId="2" w16cid:durableId="7458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8"/>
    <w:rsid w:val="00031DEE"/>
    <w:rsid w:val="00041787"/>
    <w:rsid w:val="00054579"/>
    <w:rsid w:val="00076805"/>
    <w:rsid w:val="0009249B"/>
    <w:rsid w:val="000A14D9"/>
    <w:rsid w:val="000E1836"/>
    <w:rsid w:val="000F3391"/>
    <w:rsid w:val="001130AE"/>
    <w:rsid w:val="00144D29"/>
    <w:rsid w:val="00152872"/>
    <w:rsid w:val="0016563D"/>
    <w:rsid w:val="001744C4"/>
    <w:rsid w:val="00192F46"/>
    <w:rsid w:val="001A28B2"/>
    <w:rsid w:val="001A63DA"/>
    <w:rsid w:val="001F5A85"/>
    <w:rsid w:val="00237589"/>
    <w:rsid w:val="00245BD6"/>
    <w:rsid w:val="002628B6"/>
    <w:rsid w:val="00264C7B"/>
    <w:rsid w:val="00291A38"/>
    <w:rsid w:val="002C3551"/>
    <w:rsid w:val="002F338E"/>
    <w:rsid w:val="00305C26"/>
    <w:rsid w:val="00313EF0"/>
    <w:rsid w:val="00314FFB"/>
    <w:rsid w:val="003162DD"/>
    <w:rsid w:val="003204D9"/>
    <w:rsid w:val="0032318E"/>
    <w:rsid w:val="00331D57"/>
    <w:rsid w:val="00345C7F"/>
    <w:rsid w:val="003678D8"/>
    <w:rsid w:val="00382BDA"/>
    <w:rsid w:val="003863A1"/>
    <w:rsid w:val="003A2C85"/>
    <w:rsid w:val="003B0073"/>
    <w:rsid w:val="003B5738"/>
    <w:rsid w:val="003E67A3"/>
    <w:rsid w:val="00414B1E"/>
    <w:rsid w:val="00442C5B"/>
    <w:rsid w:val="004B6609"/>
    <w:rsid w:val="004C72AA"/>
    <w:rsid w:val="004D2A6A"/>
    <w:rsid w:val="004E3DC3"/>
    <w:rsid w:val="00531232"/>
    <w:rsid w:val="00576240"/>
    <w:rsid w:val="005C4E6D"/>
    <w:rsid w:val="005D37C8"/>
    <w:rsid w:val="005E2F97"/>
    <w:rsid w:val="006038D5"/>
    <w:rsid w:val="00605021"/>
    <w:rsid w:val="00607C74"/>
    <w:rsid w:val="00640A7B"/>
    <w:rsid w:val="00662FDA"/>
    <w:rsid w:val="0066330D"/>
    <w:rsid w:val="006816F8"/>
    <w:rsid w:val="00681FCE"/>
    <w:rsid w:val="006D6BE9"/>
    <w:rsid w:val="00710E32"/>
    <w:rsid w:val="00714AC8"/>
    <w:rsid w:val="0071560C"/>
    <w:rsid w:val="00715F4A"/>
    <w:rsid w:val="00743DDC"/>
    <w:rsid w:val="00751CFD"/>
    <w:rsid w:val="00782456"/>
    <w:rsid w:val="007B34E6"/>
    <w:rsid w:val="007B4F35"/>
    <w:rsid w:val="007C18F6"/>
    <w:rsid w:val="008A2207"/>
    <w:rsid w:val="008D1007"/>
    <w:rsid w:val="008D2E04"/>
    <w:rsid w:val="009027DC"/>
    <w:rsid w:val="00935771"/>
    <w:rsid w:val="009517A2"/>
    <w:rsid w:val="009638CE"/>
    <w:rsid w:val="00985997"/>
    <w:rsid w:val="009C4253"/>
    <w:rsid w:val="00A553F7"/>
    <w:rsid w:val="00A71D78"/>
    <w:rsid w:val="00AC1946"/>
    <w:rsid w:val="00AE3342"/>
    <w:rsid w:val="00B05CB7"/>
    <w:rsid w:val="00B103FA"/>
    <w:rsid w:val="00B55721"/>
    <w:rsid w:val="00B55C5C"/>
    <w:rsid w:val="00BA57A6"/>
    <w:rsid w:val="00BD64D5"/>
    <w:rsid w:val="00C14C9D"/>
    <w:rsid w:val="00C56457"/>
    <w:rsid w:val="00C63011"/>
    <w:rsid w:val="00C67376"/>
    <w:rsid w:val="00C67D0F"/>
    <w:rsid w:val="00C95609"/>
    <w:rsid w:val="00CC7285"/>
    <w:rsid w:val="00CD12C6"/>
    <w:rsid w:val="00D12494"/>
    <w:rsid w:val="00D65F41"/>
    <w:rsid w:val="00D73D15"/>
    <w:rsid w:val="00D96117"/>
    <w:rsid w:val="00DE664D"/>
    <w:rsid w:val="00DF30D5"/>
    <w:rsid w:val="00DF6711"/>
    <w:rsid w:val="00E16617"/>
    <w:rsid w:val="00E24EFA"/>
    <w:rsid w:val="00E3370D"/>
    <w:rsid w:val="00E55D56"/>
    <w:rsid w:val="00E95DA6"/>
    <w:rsid w:val="00EB09DF"/>
    <w:rsid w:val="00EE0ED8"/>
    <w:rsid w:val="00EF40A2"/>
    <w:rsid w:val="00F7419F"/>
    <w:rsid w:val="00F8345B"/>
    <w:rsid w:val="00FA0423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E212"/>
  <w15:chartTrackingRefBased/>
  <w15:docId w15:val="{35AFB1FB-5B36-4F49-9E1C-E02A307F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A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Struan Ferguson</dc:creator>
  <cp:keywords/>
  <dc:description/>
  <cp:lastModifiedBy>Struan Ferguson</cp:lastModifiedBy>
  <cp:revision>114</cp:revision>
  <dcterms:created xsi:type="dcterms:W3CDTF">2024-08-26T20:47:00Z</dcterms:created>
  <dcterms:modified xsi:type="dcterms:W3CDTF">2024-11-15T16:04:00Z</dcterms:modified>
</cp:coreProperties>
</file>